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CA3A4" w14:textId="77777777" w:rsidR="00D62FCC" w:rsidRDefault="001E0E8E" w:rsidP="00937A0E">
      <w:pPr>
        <w:pStyle w:val="Title"/>
        <w:spacing w:line="276" w:lineRule="auto"/>
      </w:pPr>
      <w:r>
        <w:t>Evidence Brief</w:t>
      </w:r>
    </w:p>
    <w:p w14:paraId="229E937C" w14:textId="77777777" w:rsidR="00D62FCC" w:rsidRDefault="001E0E8E" w:rsidP="00937A0E">
      <w:pPr>
        <w:pStyle w:val="Heading1"/>
        <w:spacing w:line="276" w:lineRule="auto"/>
      </w:pPr>
      <w:r>
        <w:t>Paper Information</w:t>
      </w:r>
    </w:p>
    <w:p w14:paraId="388CCBC5" w14:textId="77777777" w:rsidR="00D62FCC" w:rsidRPr="00C0446D" w:rsidRDefault="001E0E8E" w:rsidP="00937A0E">
      <w:pPr>
        <w:spacing w:line="276" w:lineRule="auto"/>
      </w:pPr>
      <w:r>
        <w:rPr>
          <w:b/>
          <w:bCs/>
        </w:rPr>
        <w:t>Title:</w:t>
      </w:r>
      <w:r w:rsidR="00C0446D">
        <w:rPr>
          <w:b/>
          <w:bCs/>
        </w:rPr>
        <w:t xml:space="preserve"> </w:t>
      </w:r>
      <w:r w:rsidR="00C0446D" w:rsidRPr="00C0446D">
        <w:t>Menstruation, Sanitary Products, and School Attendance:</w:t>
      </w:r>
      <w:r w:rsidR="00C0446D">
        <w:t xml:space="preserve"> </w:t>
      </w:r>
      <w:r w:rsidR="00C0446D" w:rsidRPr="00C0446D">
        <w:t>Evidence from a</w:t>
      </w:r>
      <w:r w:rsidR="00C0446D">
        <w:t xml:space="preserve"> </w:t>
      </w:r>
      <w:r w:rsidR="00C0446D" w:rsidRPr="00C0446D">
        <w:t>Randomized Evaluation</w:t>
      </w:r>
      <w:r w:rsidRPr="00C0446D">
        <w:t xml:space="preserve"> </w:t>
      </w:r>
    </w:p>
    <w:p w14:paraId="0C722899" w14:textId="77777777" w:rsidR="00D62FCC" w:rsidRPr="00C0446D" w:rsidRDefault="001E0E8E" w:rsidP="00937A0E">
      <w:pPr>
        <w:spacing w:line="276" w:lineRule="auto"/>
      </w:pPr>
      <w:r>
        <w:rPr>
          <w:b/>
          <w:bCs/>
        </w:rPr>
        <w:t xml:space="preserve">Authors: </w:t>
      </w:r>
      <w:r w:rsidR="00C0446D" w:rsidRPr="00C0446D">
        <w:t>Emily Oster</w:t>
      </w:r>
      <w:r w:rsidR="00C0446D">
        <w:rPr>
          <w:b/>
          <w:bCs/>
        </w:rPr>
        <w:t xml:space="preserve">, </w:t>
      </w:r>
      <w:r w:rsidR="00C0446D" w:rsidRPr="00C0446D">
        <w:t>Rebecca Thornton</w:t>
      </w:r>
    </w:p>
    <w:p w14:paraId="128C3BDE" w14:textId="77777777" w:rsidR="00D62FCC" w:rsidRDefault="001E0E8E" w:rsidP="00937A0E">
      <w:pPr>
        <w:spacing w:line="276" w:lineRule="auto"/>
      </w:pPr>
      <w:r>
        <w:rPr>
          <w:b/>
          <w:bCs/>
        </w:rPr>
        <w:t xml:space="preserve">Journal/Source: </w:t>
      </w:r>
      <w:r w:rsidR="00C0446D" w:rsidRPr="00C0446D">
        <w:t>American Economic Journal: Applied Economics 3</w:t>
      </w:r>
    </w:p>
    <w:p w14:paraId="28E175A9" w14:textId="77777777" w:rsidR="00D62FCC" w:rsidRDefault="001E0E8E" w:rsidP="00937A0E">
      <w:pPr>
        <w:spacing w:line="276" w:lineRule="auto"/>
      </w:pPr>
      <w:r>
        <w:rPr>
          <w:b/>
          <w:bCs/>
        </w:rPr>
        <w:t xml:space="preserve">Year: </w:t>
      </w:r>
      <w:r w:rsidR="00C0446D" w:rsidRPr="00C0446D">
        <w:t>January 2011</w:t>
      </w:r>
    </w:p>
    <w:p w14:paraId="6C6BAF35" w14:textId="77777777" w:rsidR="00F90CF6" w:rsidRPr="00F90CF6" w:rsidRDefault="001E0E8E" w:rsidP="00937A0E">
      <w:pPr>
        <w:spacing w:line="276" w:lineRule="auto"/>
      </w:pPr>
      <w:r>
        <w:rPr>
          <w:b/>
          <w:bCs/>
        </w:rPr>
        <w:t xml:space="preserve">DOI/Link: </w:t>
      </w:r>
      <w:hyperlink r:id="rId7" w:history="1">
        <w:r w:rsidR="00F90CF6" w:rsidRPr="00FE3C4B">
          <w:rPr>
            <w:rStyle w:val="Hyperlink"/>
          </w:rPr>
          <w:t>https://www.povertyactionlab.org/sites/default/files/research-paper/99%20Menstruation%2C%20Sanitary%20Products%2C%20School%20Attendance.pdf</w:t>
        </w:r>
      </w:hyperlink>
    </w:p>
    <w:p w14:paraId="7A2D63C9" w14:textId="77777777" w:rsidR="00930565" w:rsidRPr="00E00900" w:rsidRDefault="001E0E8E" w:rsidP="00E00900">
      <w:pPr>
        <w:pStyle w:val="Heading1"/>
        <w:spacing w:line="276" w:lineRule="auto"/>
      </w:pPr>
      <w:r>
        <w:t>The Bottom Line</w:t>
      </w:r>
    </w:p>
    <w:p w14:paraId="3A5A06A3" w14:textId="77777777" w:rsidR="00C81D63" w:rsidRDefault="00C81D63" w:rsidP="00937A0E">
      <w:pPr>
        <w:pBdr>
          <w:top w:val="nil"/>
          <w:left w:val="nil"/>
          <w:bottom w:val="nil"/>
          <w:right w:val="nil"/>
          <w:between w:val="nil"/>
        </w:pBdr>
        <w:spacing w:before="120" w:after="120" w:line="276" w:lineRule="auto"/>
        <w:ind w:left="360" w:right="360"/>
        <w:rPr>
          <w:i/>
          <w:iCs/>
          <w:color w:val="2C3E50"/>
          <w:sz w:val="24"/>
          <w:szCs w:val="24"/>
        </w:rPr>
      </w:pPr>
      <w:r>
        <w:t>Menstruation does not significantly reduce school attendance, and providing sanitary products has shown minimal impact on what is already a very low absence rate. If</w:t>
      </w:r>
      <w:r w:rsidR="004C7E21">
        <w:t xml:space="preserve"> </w:t>
      </w:r>
      <w:r>
        <w:t>interventions are to be implemented, they should prioritize addressing menstrual pain and cramps, which research indicates are far stronger drivers of school absence than lack of access to sanitary products.</w:t>
      </w:r>
    </w:p>
    <w:p w14:paraId="2ABD755B" w14:textId="696027F6" w:rsidR="00D62FCC" w:rsidRDefault="001E0E8E" w:rsidP="00E00900">
      <w:pPr>
        <w:pStyle w:val="Heading1"/>
        <w:spacing w:line="276" w:lineRule="auto"/>
      </w:pPr>
      <w:r>
        <w:t>1. Why This Paper?</w:t>
      </w:r>
    </w:p>
    <w:p w14:paraId="28EA09C5" w14:textId="77777777" w:rsidR="0066729B" w:rsidRPr="0066729B" w:rsidRDefault="0066729B" w:rsidP="0066729B"/>
    <w:p w14:paraId="414BEB3E" w14:textId="219C6289" w:rsidR="00E00900" w:rsidRDefault="00E00900" w:rsidP="00E00900">
      <w:r>
        <w:t>The</w:t>
      </w:r>
      <w:r w:rsidR="00C90B0F">
        <w:t xml:space="preserve"> critical</w:t>
      </w:r>
      <w:r>
        <w:t xml:space="preserve"> question this paper addresses is regarding educational attainment of girls in lower income countries and whether interventions can lead to better educational outcomes. This question is of importance because female schooling is a primary development priority linked to improved health and economic outcomes for future generations. </w:t>
      </w:r>
      <w:r w:rsidR="00C81D63">
        <w:t>This study</w:t>
      </w:r>
      <w:r>
        <w:t xml:space="preserve"> addresses a small facet of the big question-- </w:t>
      </w:r>
      <w:r w:rsidR="00C81D63">
        <w:t>whether providing sanitary products to adolescent girls in developing countries can effectively reduce school absenteeism and improve educational attainment.</w:t>
      </w:r>
    </w:p>
    <w:p w14:paraId="188C726E" w14:textId="77777777" w:rsidR="00E00900" w:rsidRDefault="00E00900" w:rsidP="00E00900"/>
    <w:p w14:paraId="5F0EB5AF" w14:textId="77777777" w:rsidR="00C81D63" w:rsidRDefault="00C81D63" w:rsidP="00E00900">
      <w:r>
        <w:t>Major international organisations, including the World Bank and the Clinton Global Initiative, as well as large corporations, have invested millions of dollars into distributing sanitary products based on the belief that menstruation-related barriers cause girls to miss between 10 and 20 per cent of their school days.</w:t>
      </w:r>
    </w:p>
    <w:p w14:paraId="525CDE9A" w14:textId="77777777" w:rsidR="00C81D63" w:rsidRDefault="00C81D63" w:rsidP="00937A0E">
      <w:pPr>
        <w:spacing w:line="276" w:lineRule="auto"/>
      </w:pPr>
    </w:p>
    <w:p w14:paraId="4FD4A697" w14:textId="77777777" w:rsidR="00C81D63" w:rsidRDefault="00C81D63" w:rsidP="00937A0E">
      <w:pPr>
        <w:spacing w:line="276" w:lineRule="auto"/>
      </w:pPr>
      <w:r>
        <w:t>The research fills a significant gap in knowledge by providing the first rigorous, randomised evaluation of how much school girls actually miss due to their periods and the causal effect of modern sanitary technology. The sources note that previous quantitative attempts often lacked random assignment or precise daily attendance data, making it difficult to rule out confounding factors. By using a randomised controlled trial and official school records, this paper offers a precise counter-narrative to the prevailing consensus.</w:t>
      </w:r>
    </w:p>
    <w:p w14:paraId="2C07D73B" w14:textId="77777777" w:rsidR="00C81D63" w:rsidRDefault="00C81D63" w:rsidP="00937A0E">
      <w:pPr>
        <w:spacing w:line="276" w:lineRule="auto"/>
      </w:pPr>
    </w:p>
    <w:p w14:paraId="43D8CD3F" w14:textId="27CCD457" w:rsidR="00C81D63" w:rsidRDefault="00C81D63" w:rsidP="00937A0E">
      <w:pPr>
        <w:spacing w:line="276" w:lineRule="auto"/>
      </w:pPr>
      <w:r>
        <w:t>The paper’s significance lies in its finding that menstruation accounts for only 0.35 missed school days annually and that providing improved technology has no significant impact on this gap.</w:t>
      </w:r>
    </w:p>
    <w:p w14:paraId="77FAE3D8" w14:textId="77777777" w:rsidR="00ED7A78" w:rsidRDefault="00ED7A78" w:rsidP="00937A0E">
      <w:pPr>
        <w:spacing w:line="276" w:lineRule="auto"/>
      </w:pPr>
    </w:p>
    <w:p w14:paraId="6F46C96B" w14:textId="77777777" w:rsidR="00D62FCC" w:rsidRDefault="001E0E8E" w:rsidP="00E00900">
      <w:pPr>
        <w:pStyle w:val="Heading1"/>
        <w:spacing w:line="276" w:lineRule="auto"/>
      </w:pPr>
      <w:r>
        <w:lastRenderedPageBreak/>
        <w:t>2. Context &amp; Setting</w:t>
      </w:r>
    </w:p>
    <w:p w14:paraId="09A9FE6B" w14:textId="77777777" w:rsidR="00E00900" w:rsidRPr="00E00900" w:rsidRDefault="00E00900" w:rsidP="00E00900"/>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6360"/>
      </w:tblGrid>
      <w:tr w:rsidR="00D62FCC" w14:paraId="0A66B361" w14:textId="77777777">
        <w:tc>
          <w:tcPr>
            <w:tcW w:w="3000" w:type="dxa"/>
            <w:tcBorders>
              <w:top w:val="single" w:sz="4" w:space="0" w:color="CCCCCC"/>
              <w:left w:val="single" w:sz="4" w:space="0" w:color="CCCCCC"/>
              <w:bottom w:val="single" w:sz="4" w:space="0" w:color="CCCCCC"/>
              <w:right w:val="single" w:sz="4" w:space="0" w:color="CCCCCC"/>
            </w:tcBorders>
            <w:shd w:val="clear" w:color="auto" w:fill="E8F4F8"/>
          </w:tcPr>
          <w:p w14:paraId="5991FBC0" w14:textId="77777777" w:rsidR="00D62FCC" w:rsidRDefault="001E0E8E" w:rsidP="00937A0E">
            <w:pPr>
              <w:spacing w:line="276" w:lineRule="auto"/>
            </w:pPr>
            <w:r>
              <w:rPr>
                <w:b/>
                <w:bCs/>
              </w:rPr>
              <w:t>Element</w:t>
            </w:r>
          </w:p>
        </w:tc>
        <w:tc>
          <w:tcPr>
            <w:tcW w:w="6360" w:type="dxa"/>
            <w:tcBorders>
              <w:top w:val="single" w:sz="4" w:space="0" w:color="CCCCCC"/>
              <w:left w:val="single" w:sz="4" w:space="0" w:color="CCCCCC"/>
              <w:bottom w:val="single" w:sz="4" w:space="0" w:color="CCCCCC"/>
              <w:right w:val="single" w:sz="4" w:space="0" w:color="CCCCCC"/>
            </w:tcBorders>
            <w:shd w:val="clear" w:color="auto" w:fill="E8F4F8"/>
          </w:tcPr>
          <w:p w14:paraId="5073ED62" w14:textId="77777777" w:rsidR="00D62FCC" w:rsidRDefault="001E0E8E" w:rsidP="00937A0E">
            <w:pPr>
              <w:spacing w:line="276" w:lineRule="auto"/>
            </w:pPr>
            <w:r>
              <w:rPr>
                <w:b/>
                <w:bCs/>
              </w:rPr>
              <w:t>Details</w:t>
            </w:r>
          </w:p>
        </w:tc>
      </w:tr>
      <w:tr w:rsidR="00D62FCC" w14:paraId="51987DA2" w14:textId="77777777">
        <w:tc>
          <w:tcPr>
            <w:tcW w:w="3000" w:type="dxa"/>
            <w:tcBorders>
              <w:top w:val="single" w:sz="4" w:space="0" w:color="CCCCCC"/>
              <w:left w:val="single" w:sz="4" w:space="0" w:color="CCCCCC"/>
              <w:bottom w:val="single" w:sz="4" w:space="0" w:color="CCCCCC"/>
              <w:right w:val="single" w:sz="4" w:space="0" w:color="CCCCCC"/>
            </w:tcBorders>
          </w:tcPr>
          <w:p w14:paraId="20FC3D7F" w14:textId="77777777" w:rsidR="00D62FCC" w:rsidRDefault="001E0E8E" w:rsidP="00937A0E">
            <w:pPr>
              <w:spacing w:line="276" w:lineRule="auto"/>
            </w:pPr>
            <w:r>
              <w:t>Country/Region</w:t>
            </w:r>
          </w:p>
        </w:tc>
        <w:tc>
          <w:tcPr>
            <w:tcW w:w="6360" w:type="dxa"/>
            <w:tcBorders>
              <w:top w:val="single" w:sz="4" w:space="0" w:color="CCCCCC"/>
              <w:left w:val="single" w:sz="4" w:space="0" w:color="CCCCCC"/>
              <w:bottom w:val="single" w:sz="4" w:space="0" w:color="CCCCCC"/>
              <w:right w:val="single" w:sz="4" w:space="0" w:color="CCCCCC"/>
            </w:tcBorders>
          </w:tcPr>
          <w:p w14:paraId="07CFFFE4" w14:textId="77777777" w:rsidR="00D62FCC" w:rsidRDefault="00C0446D" w:rsidP="00937A0E">
            <w:pPr>
              <w:spacing w:line="276" w:lineRule="auto"/>
            </w:pPr>
            <w:r>
              <w:t>Chitwan, Nepal</w:t>
            </w:r>
          </w:p>
        </w:tc>
      </w:tr>
      <w:tr w:rsidR="00D62FCC" w14:paraId="2CDB5831" w14:textId="77777777">
        <w:tc>
          <w:tcPr>
            <w:tcW w:w="3000" w:type="dxa"/>
            <w:tcBorders>
              <w:top w:val="single" w:sz="4" w:space="0" w:color="CCCCCC"/>
              <w:left w:val="single" w:sz="4" w:space="0" w:color="CCCCCC"/>
              <w:bottom w:val="single" w:sz="4" w:space="0" w:color="CCCCCC"/>
              <w:right w:val="single" w:sz="4" w:space="0" w:color="CCCCCC"/>
            </w:tcBorders>
          </w:tcPr>
          <w:p w14:paraId="62188558" w14:textId="77777777" w:rsidR="00D62FCC" w:rsidRDefault="001E0E8E" w:rsidP="00937A0E">
            <w:pPr>
              <w:spacing w:line="276" w:lineRule="auto"/>
            </w:pPr>
            <w:r>
              <w:t>Time Period</w:t>
            </w:r>
          </w:p>
        </w:tc>
        <w:tc>
          <w:tcPr>
            <w:tcW w:w="6360" w:type="dxa"/>
            <w:tcBorders>
              <w:top w:val="single" w:sz="4" w:space="0" w:color="CCCCCC"/>
              <w:left w:val="single" w:sz="4" w:space="0" w:color="CCCCCC"/>
              <w:bottom w:val="single" w:sz="4" w:space="0" w:color="CCCCCC"/>
              <w:right w:val="single" w:sz="4" w:space="0" w:color="CCCCCC"/>
            </w:tcBorders>
          </w:tcPr>
          <w:p w14:paraId="61C06479" w14:textId="77777777" w:rsidR="00D62FCC" w:rsidRDefault="00C0446D" w:rsidP="00937A0E">
            <w:pPr>
              <w:spacing w:line="276" w:lineRule="auto"/>
            </w:pPr>
            <w:r>
              <w:t>Nov 2006 – Jan 2008 (15 months)</w:t>
            </w:r>
          </w:p>
        </w:tc>
      </w:tr>
      <w:tr w:rsidR="00D62FCC" w14:paraId="5354415E" w14:textId="77777777">
        <w:tc>
          <w:tcPr>
            <w:tcW w:w="3000" w:type="dxa"/>
            <w:tcBorders>
              <w:top w:val="single" w:sz="4" w:space="0" w:color="CCCCCC"/>
              <w:left w:val="single" w:sz="4" w:space="0" w:color="CCCCCC"/>
              <w:bottom w:val="single" w:sz="4" w:space="0" w:color="CCCCCC"/>
              <w:right w:val="single" w:sz="4" w:space="0" w:color="CCCCCC"/>
            </w:tcBorders>
          </w:tcPr>
          <w:p w14:paraId="75D3084B" w14:textId="77777777" w:rsidR="00D62FCC" w:rsidRDefault="001E0E8E" w:rsidP="00937A0E">
            <w:pPr>
              <w:spacing w:line="276" w:lineRule="auto"/>
            </w:pPr>
            <w:r>
              <w:t>Sample Size</w:t>
            </w:r>
          </w:p>
        </w:tc>
        <w:tc>
          <w:tcPr>
            <w:tcW w:w="6360" w:type="dxa"/>
            <w:tcBorders>
              <w:top w:val="single" w:sz="4" w:space="0" w:color="CCCCCC"/>
              <w:left w:val="single" w:sz="4" w:space="0" w:color="CCCCCC"/>
              <w:bottom w:val="single" w:sz="4" w:space="0" w:color="CCCCCC"/>
              <w:right w:val="single" w:sz="4" w:space="0" w:color="CCCCCC"/>
            </w:tcBorders>
          </w:tcPr>
          <w:p w14:paraId="3BF223CD" w14:textId="77777777" w:rsidR="00D62FCC" w:rsidRDefault="00ED484B" w:rsidP="00937A0E">
            <w:pPr>
              <w:spacing w:line="276" w:lineRule="auto"/>
            </w:pPr>
            <w:r>
              <w:t>Treatment – 98, Control - 101</w:t>
            </w:r>
          </w:p>
        </w:tc>
      </w:tr>
      <w:tr w:rsidR="00D62FCC" w14:paraId="1F6FF4AC" w14:textId="77777777">
        <w:tc>
          <w:tcPr>
            <w:tcW w:w="3000" w:type="dxa"/>
            <w:tcBorders>
              <w:top w:val="single" w:sz="4" w:space="0" w:color="CCCCCC"/>
              <w:left w:val="single" w:sz="4" w:space="0" w:color="CCCCCC"/>
              <w:bottom w:val="single" w:sz="4" w:space="0" w:color="CCCCCC"/>
              <w:right w:val="single" w:sz="4" w:space="0" w:color="CCCCCC"/>
            </w:tcBorders>
          </w:tcPr>
          <w:p w14:paraId="625CA171" w14:textId="77777777" w:rsidR="00D62FCC" w:rsidRDefault="001E0E8E" w:rsidP="00937A0E">
            <w:pPr>
              <w:spacing w:line="276" w:lineRule="auto"/>
            </w:pPr>
            <w:r>
              <w:t>Population Studied</w:t>
            </w:r>
          </w:p>
        </w:tc>
        <w:tc>
          <w:tcPr>
            <w:tcW w:w="6360" w:type="dxa"/>
            <w:tcBorders>
              <w:top w:val="single" w:sz="4" w:space="0" w:color="CCCCCC"/>
              <w:left w:val="single" w:sz="4" w:space="0" w:color="CCCCCC"/>
              <w:bottom w:val="single" w:sz="4" w:space="0" w:color="CCCCCC"/>
              <w:right w:val="single" w:sz="4" w:space="0" w:color="CCCCCC"/>
            </w:tcBorders>
          </w:tcPr>
          <w:p w14:paraId="16AA5447" w14:textId="77777777" w:rsidR="00D62FCC" w:rsidRDefault="00C0446D" w:rsidP="00937A0E">
            <w:pPr>
              <w:spacing w:line="276" w:lineRule="auto"/>
            </w:pPr>
            <w:r>
              <w:t>198</w:t>
            </w:r>
          </w:p>
        </w:tc>
      </w:tr>
      <w:tr w:rsidR="00D62FCC" w14:paraId="2A97A0B0" w14:textId="77777777">
        <w:tc>
          <w:tcPr>
            <w:tcW w:w="3000" w:type="dxa"/>
            <w:tcBorders>
              <w:top w:val="single" w:sz="4" w:space="0" w:color="CCCCCC"/>
              <w:left w:val="single" w:sz="4" w:space="0" w:color="CCCCCC"/>
              <w:bottom w:val="single" w:sz="4" w:space="0" w:color="CCCCCC"/>
              <w:right w:val="single" w:sz="4" w:space="0" w:color="CCCCCC"/>
            </w:tcBorders>
          </w:tcPr>
          <w:p w14:paraId="250A2BE6" w14:textId="77777777" w:rsidR="00D62FCC" w:rsidRDefault="001E0E8E" w:rsidP="00937A0E">
            <w:pPr>
              <w:spacing w:line="276" w:lineRule="auto"/>
            </w:pPr>
            <w:r>
              <w:t>Policy/Program Evaluated</w:t>
            </w:r>
          </w:p>
        </w:tc>
        <w:tc>
          <w:tcPr>
            <w:tcW w:w="6360" w:type="dxa"/>
            <w:tcBorders>
              <w:top w:val="single" w:sz="4" w:space="0" w:color="CCCCCC"/>
              <w:left w:val="single" w:sz="4" w:space="0" w:color="CCCCCC"/>
              <w:bottom w:val="single" w:sz="4" w:space="0" w:color="CCCCCC"/>
              <w:right w:val="single" w:sz="4" w:space="0" w:color="CCCCCC"/>
            </w:tcBorders>
          </w:tcPr>
          <w:p w14:paraId="1242DFFD" w14:textId="77777777" w:rsidR="00D62FCC" w:rsidRDefault="00ED484B" w:rsidP="00937A0E">
            <w:pPr>
              <w:spacing w:line="276" w:lineRule="auto"/>
            </w:pPr>
            <w:r>
              <w:t>Effect of sanitary products on school attendance</w:t>
            </w:r>
          </w:p>
        </w:tc>
      </w:tr>
      <w:tr w:rsidR="00D62FCC" w14:paraId="6D673048" w14:textId="77777777">
        <w:tc>
          <w:tcPr>
            <w:tcW w:w="3000" w:type="dxa"/>
            <w:tcBorders>
              <w:top w:val="single" w:sz="4" w:space="0" w:color="CCCCCC"/>
              <w:left w:val="single" w:sz="4" w:space="0" w:color="CCCCCC"/>
              <w:bottom w:val="single" w:sz="4" w:space="0" w:color="CCCCCC"/>
              <w:right w:val="single" w:sz="4" w:space="0" w:color="CCCCCC"/>
            </w:tcBorders>
          </w:tcPr>
          <w:p w14:paraId="15FC471F" w14:textId="77777777" w:rsidR="00D62FCC" w:rsidRDefault="001E0E8E" w:rsidP="00937A0E">
            <w:pPr>
              <w:spacing w:line="276" w:lineRule="auto"/>
            </w:pPr>
            <w:r>
              <w:t>Data Source(s)</w:t>
            </w:r>
          </w:p>
        </w:tc>
        <w:tc>
          <w:tcPr>
            <w:tcW w:w="6360" w:type="dxa"/>
            <w:tcBorders>
              <w:top w:val="single" w:sz="4" w:space="0" w:color="CCCCCC"/>
              <w:left w:val="single" w:sz="4" w:space="0" w:color="CCCCCC"/>
              <w:bottom w:val="single" w:sz="4" w:space="0" w:color="CCCCCC"/>
              <w:right w:val="single" w:sz="4" w:space="0" w:color="CCCCCC"/>
            </w:tcBorders>
          </w:tcPr>
          <w:p w14:paraId="0A41392C" w14:textId="77777777" w:rsidR="00D62FCC" w:rsidRDefault="00ED484B" w:rsidP="00937A0E">
            <w:pPr>
              <w:spacing w:line="276" w:lineRule="auto"/>
            </w:pPr>
            <w:r>
              <w:t xml:space="preserve">Data on menstrual timing - </w:t>
            </w:r>
            <w:r w:rsidRPr="00ED484B">
              <w:t>girl’s menstrual calendars</w:t>
            </w:r>
          </w:p>
          <w:p w14:paraId="033AF659" w14:textId="77777777" w:rsidR="00ED484B" w:rsidRDefault="00ED484B" w:rsidP="00937A0E">
            <w:pPr>
              <w:spacing w:line="276" w:lineRule="auto"/>
            </w:pPr>
          </w:p>
          <w:p w14:paraId="08097200" w14:textId="77777777" w:rsidR="00ED484B" w:rsidRDefault="00ED484B" w:rsidP="00937A0E">
            <w:pPr>
              <w:spacing w:line="276" w:lineRule="auto"/>
            </w:pPr>
            <w:r>
              <w:t>D</w:t>
            </w:r>
            <w:r w:rsidRPr="00ED484B">
              <w:t>ata on school attendance</w:t>
            </w:r>
            <w:r>
              <w:t xml:space="preserve"> - </w:t>
            </w:r>
            <w:r w:rsidRPr="00ED484B">
              <w:t>official school records</w:t>
            </w:r>
            <w:r>
              <w:t xml:space="preserve"> and supplemented with </w:t>
            </w:r>
            <w:r w:rsidRPr="00ED484B">
              <w:t>time diaries, filled out by the girls themselves</w:t>
            </w:r>
          </w:p>
        </w:tc>
      </w:tr>
    </w:tbl>
    <w:p w14:paraId="2AB43987" w14:textId="77777777" w:rsidR="00D62FCC" w:rsidRDefault="00D62FCC" w:rsidP="00937A0E">
      <w:pPr>
        <w:spacing w:line="276" w:lineRule="auto"/>
      </w:pPr>
    </w:p>
    <w:p w14:paraId="5F0FB2A7" w14:textId="77777777" w:rsidR="00C47717" w:rsidRDefault="00C47717" w:rsidP="00937A0E">
      <w:pPr>
        <w:spacing w:line="276" w:lineRule="auto"/>
      </w:pPr>
    </w:p>
    <w:p w14:paraId="78459CDC" w14:textId="77777777" w:rsidR="00624B11" w:rsidRDefault="00624B11" w:rsidP="00937A0E">
      <w:pPr>
        <w:spacing w:line="276" w:lineRule="auto"/>
      </w:pPr>
      <w:r w:rsidRPr="00624B11">
        <w:t>The specific research program, known as the Menstruation and Education in Nepal Project, was implemented by researchers Emily Oster and Rebecca Thornton between November 2006 and January 2008</w:t>
      </w:r>
      <w:r>
        <w:t xml:space="preserve">. </w:t>
      </w:r>
      <w:r w:rsidR="00852A13">
        <w:t xml:space="preserve">It was supported by grants from the University of Michigan Population Studies Center (Mueller and Freedman Funds), the University of Chicago Center for Health and Social Sciences, Harvard University Women in Public Policy Grant, and the Warburg Foundation Economics of Culture Research Grant at Harvard University. </w:t>
      </w:r>
      <w:r w:rsidRPr="00624B11">
        <w:t>The study took place in four schools within the Chitwan District of Nepal</w:t>
      </w:r>
      <w:r w:rsidR="00E00900">
        <w:t xml:space="preserve">, </w:t>
      </w:r>
      <w:r w:rsidR="00E00900">
        <w:rPr>
          <w:color w:val="000000"/>
        </w:rPr>
        <w:t>where most girls traditionally use cloth during menstruation and where school attendance for girls is a key concern in efforts to improve gender parity in education.</w:t>
      </w:r>
    </w:p>
    <w:p w14:paraId="219FAF37" w14:textId="77777777" w:rsidR="00E00900" w:rsidRDefault="00E00900" w:rsidP="00937A0E">
      <w:pPr>
        <w:spacing w:line="276" w:lineRule="auto"/>
      </w:pPr>
    </w:p>
    <w:p w14:paraId="06119E3C" w14:textId="77777777" w:rsidR="00D62FCC" w:rsidRDefault="001E0E8E" w:rsidP="00937A0E">
      <w:pPr>
        <w:pStyle w:val="Heading1"/>
        <w:spacing w:line="276" w:lineRule="auto"/>
      </w:pPr>
      <w:r>
        <w:t>3. Causal Methodology</w:t>
      </w:r>
    </w:p>
    <w:p w14:paraId="6CF021AF" w14:textId="77777777" w:rsidR="00D62FCC" w:rsidRDefault="00D62FCC" w:rsidP="00937A0E">
      <w:pPr>
        <w:spacing w:line="276" w:lineRule="auto"/>
      </w:pPr>
    </w:p>
    <w:p w14:paraId="53493820" w14:textId="77777777" w:rsidR="00D62FCC" w:rsidRDefault="001E0E8E" w:rsidP="00937A0E">
      <w:pPr>
        <w:spacing w:line="276" w:lineRule="auto"/>
      </w:pPr>
      <w:r>
        <w:rPr>
          <w:b/>
          <w:bCs/>
        </w:rPr>
        <w:t xml:space="preserve">Design: </w:t>
      </w:r>
      <w:r>
        <w:t>RCT</w:t>
      </w:r>
    </w:p>
    <w:p w14:paraId="3AFAFFB6" w14:textId="77777777" w:rsidR="00D62FCC" w:rsidRDefault="00D62FCC" w:rsidP="00937A0E">
      <w:pPr>
        <w:spacing w:line="276" w:lineRule="auto"/>
      </w:pPr>
    </w:p>
    <w:p w14:paraId="4A30CC06" w14:textId="77777777" w:rsidR="00D62FCC" w:rsidRDefault="001E0E8E" w:rsidP="00937A0E">
      <w:pPr>
        <w:pStyle w:val="Heading2"/>
        <w:spacing w:line="276" w:lineRule="auto"/>
      </w:pPr>
      <w:r>
        <w:t>The Core Idea</w:t>
      </w:r>
    </w:p>
    <w:p w14:paraId="4D0FD307" w14:textId="77777777" w:rsidR="00256B5D" w:rsidRDefault="00256B5D" w:rsidP="00937A0E">
      <w:pPr>
        <w:spacing w:line="276" w:lineRule="auto"/>
      </w:pPr>
    </w:p>
    <w:p w14:paraId="731F8D01" w14:textId="77777777" w:rsidR="00D62FCC" w:rsidRDefault="00085734" w:rsidP="00937A0E">
      <w:pPr>
        <w:spacing w:line="276" w:lineRule="auto"/>
      </w:pPr>
      <w:r>
        <w:t xml:space="preserve">The participants were assigned to either the treatment or the control group through a </w:t>
      </w:r>
      <w:r w:rsidR="005A756B">
        <w:t xml:space="preserve">public lottery. Since a public lottery was held, the two groups were devoid of biases that could arise from when assignment was due to personal choices. This made it possible to test causality as two groups of nearly identical baselines were created by randomisation </w:t>
      </w:r>
      <w:r w:rsidR="000415EA">
        <w:t>and only the intervention could bring about variations in school attendance.</w:t>
      </w:r>
    </w:p>
    <w:p w14:paraId="1C715AEC" w14:textId="77777777" w:rsidR="00D62FCC" w:rsidRDefault="001E0E8E" w:rsidP="00937A0E">
      <w:pPr>
        <w:pStyle w:val="Heading2"/>
        <w:spacing w:line="276" w:lineRule="auto"/>
      </w:pPr>
      <w:r>
        <w:t>Key Assumptions</w:t>
      </w:r>
    </w:p>
    <w:p w14:paraId="43B9D771" w14:textId="77777777" w:rsidR="00256B5D" w:rsidRDefault="00256B5D" w:rsidP="00937A0E">
      <w:pPr>
        <w:spacing w:line="276" w:lineRule="auto"/>
      </w:pPr>
    </w:p>
    <w:p w14:paraId="4B8ADD5F" w14:textId="77777777" w:rsidR="000415EA" w:rsidRDefault="000415EA" w:rsidP="00937A0E">
      <w:pPr>
        <w:spacing w:line="276" w:lineRule="auto"/>
      </w:pPr>
      <w:r>
        <w:t xml:space="preserve">The two groups should be statistically identical and devoid of any selection bias as it could cause confounding. Confounding would make it impossible to make a causal claim. </w:t>
      </w:r>
      <w:r w:rsidR="00146CED">
        <w:t>The adoption rates of the intervention should also be high.</w:t>
      </w:r>
    </w:p>
    <w:p w14:paraId="295B5EC1" w14:textId="77777777" w:rsidR="00D62FCC" w:rsidRDefault="00D62FCC" w:rsidP="00937A0E">
      <w:pPr>
        <w:spacing w:line="276" w:lineRule="auto"/>
      </w:pPr>
    </w:p>
    <w:p w14:paraId="314ED267" w14:textId="77777777" w:rsidR="00D62FCC" w:rsidRDefault="001E0E8E" w:rsidP="00937A0E">
      <w:pPr>
        <w:pStyle w:val="Heading2"/>
        <w:spacing w:line="276" w:lineRule="auto"/>
      </w:pPr>
      <w:r>
        <w:lastRenderedPageBreak/>
        <w:t>Robustness</w:t>
      </w:r>
    </w:p>
    <w:p w14:paraId="37EA8D6A" w14:textId="77777777" w:rsidR="00085734" w:rsidRDefault="00146CED" w:rsidP="00937A0E">
      <w:pPr>
        <w:spacing w:line="276" w:lineRule="auto"/>
      </w:pPr>
      <w:r>
        <w:t>The results are robust since:</w:t>
      </w:r>
    </w:p>
    <w:p w14:paraId="3C3FE6BD" w14:textId="77777777" w:rsidR="00085734" w:rsidRDefault="00085734" w:rsidP="00085734">
      <w:pPr>
        <w:pStyle w:val="ListParagraph"/>
        <w:numPr>
          <w:ilvl w:val="0"/>
          <w:numId w:val="2"/>
        </w:numPr>
        <w:spacing w:line="276" w:lineRule="auto"/>
      </w:pPr>
      <w:r>
        <w:rPr>
          <w:color w:val="000000"/>
          <w:szCs w:val="22"/>
        </w:rPr>
        <w:t>Results are consistent across multiple data sources, including official school attendance registers and self-reported diaries.</w:t>
      </w:r>
    </w:p>
    <w:p w14:paraId="7A83A238" w14:textId="77777777" w:rsidR="00146CED" w:rsidRDefault="00146CED" w:rsidP="00937A0E">
      <w:pPr>
        <w:pStyle w:val="ListParagraph"/>
        <w:numPr>
          <w:ilvl w:val="0"/>
          <w:numId w:val="2"/>
        </w:numPr>
        <w:spacing w:line="276" w:lineRule="auto"/>
      </w:pPr>
      <w:r>
        <w:t xml:space="preserve">The randomization was a public lottery in front of all of the mothers and girls, making it difficult to game the system. </w:t>
      </w:r>
    </w:p>
    <w:p w14:paraId="26F33C13" w14:textId="77777777" w:rsidR="00146CED" w:rsidRDefault="00146CED" w:rsidP="00937A0E">
      <w:pPr>
        <w:pStyle w:val="ListParagraph"/>
        <w:numPr>
          <w:ilvl w:val="0"/>
          <w:numId w:val="2"/>
        </w:numPr>
        <w:spacing w:line="276" w:lineRule="auto"/>
      </w:pPr>
      <w:r>
        <w:t xml:space="preserve">Girls and their mothers did not know about the menstrual cup prior to the lottery and thus would not have incentive to try to get it. </w:t>
      </w:r>
    </w:p>
    <w:p w14:paraId="5C5476F3" w14:textId="77777777" w:rsidR="00D62FCC" w:rsidRDefault="001E0E8E" w:rsidP="00937A0E">
      <w:pPr>
        <w:pStyle w:val="Heading1"/>
        <w:spacing w:line="276" w:lineRule="auto"/>
      </w:pPr>
      <w:r>
        <w:t>4. Important Results</w:t>
      </w:r>
    </w:p>
    <w:p w14:paraId="2EE5516D" w14:textId="77777777" w:rsidR="00D62FCC" w:rsidRDefault="001E0E8E" w:rsidP="00937A0E">
      <w:pPr>
        <w:pStyle w:val="Heading2"/>
        <w:spacing w:line="276" w:lineRule="auto"/>
      </w:pPr>
      <w:r>
        <w:t>Finding 1</w:t>
      </w:r>
    </w:p>
    <w:p w14:paraId="2E71903A" w14:textId="77777777" w:rsidR="00256B5D" w:rsidRDefault="00256B5D" w:rsidP="00937A0E">
      <w:pPr>
        <w:spacing w:line="276" w:lineRule="auto"/>
      </w:pPr>
    </w:p>
    <w:p w14:paraId="55B6BB70" w14:textId="77777777" w:rsidR="00256B5D" w:rsidRDefault="00256B5D" w:rsidP="00937A0E">
      <w:pPr>
        <w:pStyle w:val="ListParagraph"/>
        <w:numPr>
          <w:ilvl w:val="0"/>
          <w:numId w:val="3"/>
        </w:numPr>
        <w:spacing w:line="276" w:lineRule="auto"/>
      </w:pPr>
      <w:r w:rsidRPr="00256B5D">
        <w:t>Menstruation has a very small negative impact on school attendance for girls in Nepal</w:t>
      </w:r>
      <w:r>
        <w:t xml:space="preserve">. </w:t>
      </w:r>
    </w:p>
    <w:p w14:paraId="5E41A4A2" w14:textId="77777777" w:rsidR="00256B5D" w:rsidRDefault="00256B5D" w:rsidP="00937A0E">
      <w:pPr>
        <w:pStyle w:val="ListParagraph"/>
        <w:numPr>
          <w:ilvl w:val="0"/>
          <w:numId w:val="3"/>
        </w:numPr>
        <w:spacing w:line="276" w:lineRule="auto"/>
      </w:pPr>
      <w:r w:rsidRPr="00256B5D">
        <w:t>Girls are 2.4 percentage points less likely to attend school on days they have their period; this equates to missing approximately 0.35 to 0.4 days out of a 180-day school year</w:t>
      </w:r>
      <w:r>
        <w:t xml:space="preserve">. </w:t>
      </w:r>
    </w:p>
    <w:p w14:paraId="1755B8BD" w14:textId="77777777" w:rsidR="00D62FCC" w:rsidRDefault="00256B5D" w:rsidP="00937A0E">
      <w:pPr>
        <w:pStyle w:val="ListParagraph"/>
        <w:numPr>
          <w:ilvl w:val="0"/>
          <w:numId w:val="3"/>
        </w:numPr>
        <w:spacing w:line="276" w:lineRule="auto"/>
      </w:pPr>
      <w:r w:rsidRPr="00256B5D">
        <w:t>This finding is statistically significant at the 5 percent level</w:t>
      </w:r>
      <w:r>
        <w:t xml:space="preserve"> but not large enough for practical significance</w:t>
      </w:r>
    </w:p>
    <w:p w14:paraId="4E9CF4FD" w14:textId="77777777" w:rsidR="00D62FCC" w:rsidRDefault="001E0E8E" w:rsidP="00937A0E">
      <w:pPr>
        <w:pStyle w:val="Heading2"/>
        <w:spacing w:line="276" w:lineRule="auto"/>
      </w:pPr>
      <w:r>
        <w:t>Finding 2</w:t>
      </w:r>
    </w:p>
    <w:p w14:paraId="766F6EF0" w14:textId="77777777" w:rsidR="00256B5D" w:rsidRDefault="00256B5D" w:rsidP="00937A0E">
      <w:pPr>
        <w:pStyle w:val="ListParagraph"/>
        <w:numPr>
          <w:ilvl w:val="0"/>
          <w:numId w:val="4"/>
        </w:numPr>
        <w:spacing w:line="276" w:lineRule="auto"/>
      </w:pPr>
      <w:r w:rsidRPr="00256B5D">
        <w:t>Providing improved sanitary technology (the menstrual cup) has no effect on reducing the already small attendance gap</w:t>
      </w:r>
      <w:r w:rsidR="00085734">
        <w:t>.</w:t>
      </w:r>
    </w:p>
    <w:p w14:paraId="2BFFF602" w14:textId="77777777" w:rsidR="00256B5D" w:rsidRDefault="00256B5D" w:rsidP="00937A0E">
      <w:pPr>
        <w:pStyle w:val="ListParagraph"/>
        <w:numPr>
          <w:ilvl w:val="0"/>
          <w:numId w:val="4"/>
        </w:numPr>
        <w:spacing w:line="276" w:lineRule="auto"/>
      </w:pPr>
      <w:r w:rsidRPr="00256B5D">
        <w:t>The</w:t>
      </w:r>
      <w:r>
        <w:t xml:space="preserve"> intervention(menstrual cup)</w:t>
      </w:r>
      <w:r w:rsidRPr="00256B5D">
        <w:t xml:space="preserve"> resulted in an insignificant 1.0 percentage point decrease in attendance on period days. The estimated impact over a full school year was a negligible gain of 0.15 to 0.51 days, depending on the data source used</w:t>
      </w:r>
      <w:r>
        <w:t>.</w:t>
      </w:r>
    </w:p>
    <w:p w14:paraId="158D7848" w14:textId="77777777" w:rsidR="00256B5D" w:rsidRDefault="00256B5D" w:rsidP="00937A0E">
      <w:pPr>
        <w:pStyle w:val="ListParagraph"/>
        <w:numPr>
          <w:ilvl w:val="0"/>
          <w:numId w:val="4"/>
        </w:numPr>
        <w:spacing w:line="276" w:lineRule="auto"/>
      </w:pPr>
      <w:r w:rsidRPr="00256B5D">
        <w:t>The results are statistically insignificant; the researchers reject at the 1 percent level the claim that the cup closes the attendance gap and reject at the 5 percent level that the cup increases attendance by more than 0.35 days per year</w:t>
      </w:r>
    </w:p>
    <w:p w14:paraId="6F4C158E" w14:textId="77777777" w:rsidR="00256B5D" w:rsidRDefault="00256B5D" w:rsidP="00937A0E">
      <w:pPr>
        <w:pStyle w:val="ListParagraph"/>
        <w:numPr>
          <w:ilvl w:val="0"/>
          <w:numId w:val="4"/>
        </w:numPr>
        <w:spacing w:line="276" w:lineRule="auto"/>
      </w:pPr>
      <w:r>
        <w:t>Intervention is unlikely to lead to schooling gains since the primary reason for absence was cramps(43.8% cited as reason for missing school) which is not addressed</w:t>
      </w:r>
      <w:r w:rsidR="00B90F9F">
        <w:t xml:space="preserve"> by this technology.</w:t>
      </w:r>
    </w:p>
    <w:p w14:paraId="54E3D9A7" w14:textId="77777777" w:rsidR="00D62FCC" w:rsidRDefault="00D62FCC" w:rsidP="00937A0E">
      <w:pPr>
        <w:spacing w:line="276" w:lineRule="auto"/>
      </w:pPr>
    </w:p>
    <w:p w14:paraId="4421B941" w14:textId="77777777" w:rsidR="00D62FCC" w:rsidRDefault="001E0E8E" w:rsidP="00937A0E">
      <w:pPr>
        <w:pStyle w:val="Heading2"/>
        <w:spacing w:line="276" w:lineRule="auto"/>
      </w:pPr>
      <w:r>
        <w:t>Finding 3</w:t>
      </w:r>
    </w:p>
    <w:p w14:paraId="5CCCC76E" w14:textId="77777777" w:rsidR="00B90F9F" w:rsidRDefault="00B90F9F" w:rsidP="00937A0E">
      <w:pPr>
        <w:pStyle w:val="ListParagraph"/>
        <w:numPr>
          <w:ilvl w:val="0"/>
          <w:numId w:val="5"/>
        </w:numPr>
        <w:spacing w:line="276" w:lineRule="auto"/>
      </w:pPr>
      <w:r w:rsidRPr="00B90F9F">
        <w:t>Despite the lack of educational impact, the menstrual cup was highly valued and adopted by the participants</w:t>
      </w:r>
      <w:r>
        <w:t>.</w:t>
      </w:r>
    </w:p>
    <w:p w14:paraId="370BB87A" w14:textId="77777777" w:rsidR="00B90F9F" w:rsidRDefault="00B90F9F" w:rsidP="00937A0E">
      <w:pPr>
        <w:pStyle w:val="ListParagraph"/>
        <w:numPr>
          <w:ilvl w:val="0"/>
          <w:numId w:val="5"/>
        </w:numPr>
        <w:spacing w:line="276" w:lineRule="auto"/>
      </w:pPr>
      <w:r w:rsidRPr="00B90F9F">
        <w:t>Adoption rates were approximately 60 percent six months into the study, and girls reported a positive hypothetical willingness to pay for the product</w:t>
      </w:r>
      <w:r>
        <w:t>.</w:t>
      </w:r>
    </w:p>
    <w:p w14:paraId="57B10147" w14:textId="77777777" w:rsidR="00B90F9F" w:rsidRDefault="00B90F9F" w:rsidP="00937A0E">
      <w:pPr>
        <w:pStyle w:val="ListParagraph"/>
        <w:numPr>
          <w:ilvl w:val="0"/>
          <w:numId w:val="5"/>
        </w:numPr>
        <w:spacing w:line="276" w:lineRule="auto"/>
      </w:pPr>
      <w:r w:rsidRPr="00B90F9F">
        <w:t>The device has practical value for personal comfort and convenience, specifically by reducing time spent on laundry, even though it does not serve as an effective tool for increasing school attendance</w:t>
      </w:r>
    </w:p>
    <w:p w14:paraId="3C8ADC48" w14:textId="77777777" w:rsidR="00D62FCC" w:rsidRDefault="00D62FCC" w:rsidP="00937A0E">
      <w:pPr>
        <w:spacing w:line="276" w:lineRule="auto"/>
      </w:pPr>
    </w:p>
    <w:p w14:paraId="363187AE" w14:textId="77777777" w:rsidR="00D62FCC" w:rsidRDefault="001E0E8E" w:rsidP="00937A0E">
      <w:pPr>
        <w:pStyle w:val="Heading2"/>
        <w:spacing w:line="276" w:lineRule="auto"/>
      </w:pPr>
      <w:r>
        <w:t>Heterogeneity</w:t>
      </w:r>
    </w:p>
    <w:p w14:paraId="252EE9AA" w14:textId="77777777" w:rsidR="00B90F9F" w:rsidRDefault="00085734" w:rsidP="00937A0E">
      <w:pPr>
        <w:spacing w:line="276" w:lineRule="auto"/>
      </w:pPr>
      <w:r>
        <w:rPr>
          <w:color w:val="000000"/>
        </w:rPr>
        <w:lastRenderedPageBreak/>
        <w:t>The study finds no meaningful differences in impacts by age, baseline attendance, or household characteristics. There is no subgroup for which sanitary product provision significantly improves attendance.</w:t>
      </w:r>
    </w:p>
    <w:p w14:paraId="13C6F53A" w14:textId="77777777" w:rsidR="00D62FCC" w:rsidRDefault="001E0E8E" w:rsidP="00937A0E">
      <w:pPr>
        <w:pStyle w:val="Heading1"/>
        <w:spacing w:line="276" w:lineRule="auto"/>
      </w:pPr>
      <w:r>
        <w:t>5. Limitations &amp; Open Questions</w:t>
      </w:r>
    </w:p>
    <w:p w14:paraId="52BA7D13" w14:textId="77777777" w:rsidR="00D62FCC" w:rsidRDefault="00D62FCC" w:rsidP="00937A0E">
      <w:pPr>
        <w:spacing w:line="276" w:lineRule="auto"/>
      </w:pPr>
    </w:p>
    <w:p w14:paraId="575D14EC" w14:textId="77777777" w:rsidR="00D62FCC" w:rsidRDefault="001E0E8E" w:rsidP="00937A0E">
      <w:pPr>
        <w:spacing w:line="276" w:lineRule="auto"/>
        <w:rPr>
          <w:rStyle w:val="ng-star-inserted"/>
        </w:rPr>
      </w:pPr>
      <w:r>
        <w:rPr>
          <w:b/>
          <w:bCs/>
        </w:rPr>
        <w:t xml:space="preserve">Internal Validity Concerns: </w:t>
      </w:r>
      <w:r w:rsidR="003C5C6E" w:rsidRPr="003C5C6E">
        <w:rPr>
          <w:rStyle w:val="ng-star-inserted"/>
        </w:rPr>
        <w:t xml:space="preserve">Although a </w:t>
      </w:r>
      <w:r w:rsidR="003C5C6E" w:rsidRPr="003C5C6E">
        <w:t>60% adoption rate</w:t>
      </w:r>
      <w:r w:rsidR="003C5C6E" w:rsidRPr="003C5C6E">
        <w:rPr>
          <w:rStyle w:val="ng-star-inserted"/>
        </w:rPr>
        <w:t xml:space="preserve"> is considered high, it means 40% of the treatment group did not use the cup. This </w:t>
      </w:r>
      <w:r w:rsidR="00035355">
        <w:rPr>
          <w:rStyle w:val="ng-star-inserted"/>
        </w:rPr>
        <w:t xml:space="preserve">means that </w:t>
      </w:r>
      <w:r w:rsidR="00035355" w:rsidRPr="00035355">
        <w:rPr>
          <w:rStyle w:val="ng-star-inserted"/>
        </w:rPr>
        <w:t>the effect of offering the cup</w:t>
      </w:r>
      <w:r w:rsidR="00035355">
        <w:rPr>
          <w:rStyle w:val="ng-star-inserted"/>
        </w:rPr>
        <w:t xml:space="preserve"> is being measured rather than </w:t>
      </w:r>
      <w:r w:rsidR="00035355" w:rsidRPr="00035355">
        <w:rPr>
          <w:rStyle w:val="ng-star-inserted"/>
        </w:rPr>
        <w:t>the effect of using the cu</w:t>
      </w:r>
      <w:r w:rsidR="00035355">
        <w:rPr>
          <w:rStyle w:val="ng-star-inserted"/>
        </w:rPr>
        <w:t>p which leads to attenuation of the estimated effect.</w:t>
      </w:r>
    </w:p>
    <w:p w14:paraId="28F88577" w14:textId="77777777" w:rsidR="00035355" w:rsidRDefault="00035355" w:rsidP="00937A0E">
      <w:pPr>
        <w:spacing w:line="276" w:lineRule="auto"/>
      </w:pPr>
    </w:p>
    <w:p w14:paraId="6124F700" w14:textId="2CA06DAD" w:rsidR="00D62FCC" w:rsidRDefault="001E0E8E" w:rsidP="00937A0E">
      <w:pPr>
        <w:spacing w:line="276" w:lineRule="auto"/>
        <w:rPr>
          <w:rStyle w:val="ng-star-inserted"/>
        </w:rPr>
      </w:pPr>
      <w:r>
        <w:rPr>
          <w:b/>
          <w:bCs/>
        </w:rPr>
        <w:t xml:space="preserve">External Validity Concerns: </w:t>
      </w:r>
      <w:r w:rsidR="00035355">
        <w:t>The study’s external validity is limited by its narrow geographic scope, as it draws on four schools in a single district (Chitwan). While the authors argue that similarities in income and cultural restrictions allow generalization to other low-income contexts, substantial heterogeneity within Nepal itself raises concerns</w:t>
      </w:r>
      <w:r w:rsidR="00C3284A">
        <w:rPr>
          <w:rStyle w:val="ng-star-inserted"/>
        </w:rPr>
        <w:t xml:space="preserve">. </w:t>
      </w:r>
      <w:r w:rsidR="00545334">
        <w:t>Societal and cultural practices like chhaupadi</w:t>
      </w:r>
      <w:r w:rsidR="00A843C0">
        <w:t xml:space="preserve">-- </w:t>
      </w:r>
      <w:r w:rsidR="00545334">
        <w:t>a tradition in which menstruating women and girls are isolated from their homes and communities</w:t>
      </w:r>
      <w:r w:rsidR="00A843C0">
        <w:t xml:space="preserve">-- </w:t>
      </w:r>
      <w:r w:rsidR="00545334">
        <w:t>remained widespread in western Nepal during the study period and would undoubtedly increase absenteeism</w:t>
      </w:r>
      <w:r w:rsidR="00C3284A">
        <w:rPr>
          <w:rStyle w:val="ng-star-inserted"/>
        </w:rPr>
        <w:t xml:space="preserve">. The intervention(menstrual cup) is unlikely to address this either. </w:t>
      </w:r>
    </w:p>
    <w:p w14:paraId="6224B3DC" w14:textId="77777777" w:rsidR="00C3284A" w:rsidRDefault="00C3284A" w:rsidP="00937A0E">
      <w:pPr>
        <w:spacing w:line="276" w:lineRule="auto"/>
      </w:pPr>
    </w:p>
    <w:p w14:paraId="2EB1840B" w14:textId="77777777" w:rsidR="00545334" w:rsidRDefault="001E0E8E" w:rsidP="00937A0E">
      <w:pPr>
        <w:spacing w:line="276" w:lineRule="auto"/>
        <w:rPr>
          <w:b/>
          <w:bCs/>
        </w:rPr>
      </w:pPr>
      <w:r>
        <w:rPr>
          <w:b/>
          <w:bCs/>
        </w:rPr>
        <w:t xml:space="preserve">Unanswered Questions: </w:t>
      </w:r>
      <w:r w:rsidR="00773CFE">
        <w:rPr>
          <w:b/>
          <w:bCs/>
        </w:rPr>
        <w:t xml:space="preserve"> </w:t>
      </w:r>
      <w:r w:rsidR="00545334">
        <w:t>Why did researchers select Chitwan over other possible districts in Nepal? What factors led 40 percent of the treatment group to reject the cup?</w:t>
      </w:r>
      <w:r w:rsidR="00545334">
        <w:rPr>
          <w:b/>
          <w:bCs/>
        </w:rPr>
        <w:t xml:space="preserve"> </w:t>
      </w:r>
    </w:p>
    <w:p w14:paraId="45F81A44" w14:textId="77777777" w:rsidR="00545334" w:rsidRDefault="00545334" w:rsidP="00937A0E">
      <w:pPr>
        <w:spacing w:line="276" w:lineRule="auto"/>
        <w:rPr>
          <w:b/>
          <w:bCs/>
        </w:rPr>
      </w:pPr>
    </w:p>
    <w:p w14:paraId="5E909E23" w14:textId="3A9B4660" w:rsidR="00D62FCC" w:rsidRDefault="001E0E8E" w:rsidP="00545334">
      <w:pPr>
        <w:spacing w:line="276" w:lineRule="auto"/>
      </w:pPr>
      <w:r>
        <w:rPr>
          <w:b/>
          <w:bCs/>
        </w:rPr>
        <w:t xml:space="preserve">Future Research Needed: </w:t>
      </w:r>
      <w:r w:rsidR="00545334">
        <w:t>Does pain management through analgesics improve attendance? What other interventions could improve both attendance and quality of learning?</w:t>
      </w:r>
      <w:r>
        <w:t xml:space="preserve"> </w:t>
      </w:r>
    </w:p>
    <w:p w14:paraId="6D0F9721" w14:textId="77777777" w:rsidR="00D62FCC" w:rsidRDefault="001E0E8E" w:rsidP="00937A0E">
      <w:pPr>
        <w:pStyle w:val="Heading2"/>
        <w:spacing w:line="276" w:lineRule="auto"/>
      </w:pPr>
      <w:r>
        <w:t>Contextual Similarity</w:t>
      </w:r>
    </w:p>
    <w:p w14:paraId="63976CA7" w14:textId="77777777" w:rsidR="00D62FCC" w:rsidRDefault="00C628F5" w:rsidP="00C628F5">
      <w:pPr>
        <w:spacing w:line="276" w:lineRule="auto"/>
      </w:pPr>
      <w:r>
        <w:rPr>
          <w:color w:val="000000"/>
        </w:rPr>
        <w:t>The study was conducted in Chitwan, Nepal</w:t>
      </w:r>
      <w:r>
        <w:t xml:space="preserve">. Because of substantial cultural heterogenity within Nepal itself, there are concerns regarding the results of the study. </w:t>
      </w:r>
      <w:r>
        <w:rPr>
          <w:rStyle w:val="ng-star-inserted"/>
        </w:rPr>
        <w:t>Societal and cultural ills like chaupadi likely were rampant in the years the study was conducted in western Nepal which would undoubtedly increase absenteeism.</w:t>
      </w:r>
    </w:p>
    <w:p w14:paraId="4330269F" w14:textId="77777777" w:rsidR="00D62FCC" w:rsidRDefault="00D62FCC" w:rsidP="00937A0E">
      <w:pPr>
        <w:spacing w:line="276" w:lineRule="auto"/>
      </w:pPr>
    </w:p>
    <w:p w14:paraId="29468771" w14:textId="77777777" w:rsidR="00D62FCC" w:rsidRDefault="001E0E8E" w:rsidP="00937A0E">
      <w:pPr>
        <w:pStyle w:val="Heading2"/>
        <w:spacing w:line="276" w:lineRule="auto"/>
      </w:pPr>
      <w:r>
        <w:t>Implementation Considerations</w:t>
      </w:r>
    </w:p>
    <w:p w14:paraId="10C7A584" w14:textId="77777777" w:rsidR="002A1343" w:rsidRDefault="00C15C35" w:rsidP="00C15C35">
      <w:pPr>
        <w:spacing w:line="276" w:lineRule="auto"/>
      </w:pPr>
      <w:r w:rsidRPr="00C15C35">
        <w:t>Scaling sanitary product distribution alone is unlikely to improve attendance.</w:t>
      </w:r>
      <w:r>
        <w:t xml:space="preserve"> Menstrual health interventions should address period cramps which was reported as the primary reason for absenteeism. </w:t>
      </w:r>
    </w:p>
    <w:p w14:paraId="562575A5" w14:textId="77777777" w:rsidR="0058795D" w:rsidRDefault="001E0E8E" w:rsidP="0058795D">
      <w:pPr>
        <w:pStyle w:val="Heading2"/>
        <w:spacing w:line="276" w:lineRule="auto"/>
      </w:pPr>
      <w:r>
        <w:t>Existing Evidence from Nepal</w:t>
      </w:r>
    </w:p>
    <w:p w14:paraId="222AC5CB" w14:textId="77777777" w:rsidR="004C7E21" w:rsidRDefault="00C15C35" w:rsidP="00C15C35">
      <w:pPr>
        <w:spacing w:line="276" w:lineRule="auto"/>
      </w:pPr>
      <w:r>
        <w:t>There are strong evidence that the results (</w:t>
      </w:r>
      <w:r w:rsidRPr="00256B5D">
        <w:t>a very small negative impact on school</w:t>
      </w:r>
      <w:r>
        <w:t xml:space="preserve"> </w:t>
      </w:r>
      <w:r w:rsidRPr="00256B5D">
        <w:t>attendance for girls in Nepal</w:t>
      </w:r>
      <w:r>
        <w:t xml:space="preserve">) would not replicate in western Nepal where chaupadi remains widely practiced among adolescent girls (Amatya et al., 2018). </w:t>
      </w:r>
      <w:r>
        <w:rPr>
          <w:rStyle w:val="ng-star-inserted"/>
        </w:rPr>
        <w:t xml:space="preserve">The intervention(menstrual cup) is unlikely to address this either. </w:t>
      </w:r>
    </w:p>
    <w:p w14:paraId="5DF2D2B0" w14:textId="77777777" w:rsidR="002A1343" w:rsidRDefault="001E0E8E" w:rsidP="004E60A7">
      <w:pPr>
        <w:pStyle w:val="Heading2"/>
        <w:spacing w:line="276" w:lineRule="auto"/>
      </w:pPr>
      <w:r>
        <w:t>Policy Entry Points</w:t>
      </w:r>
    </w:p>
    <w:p w14:paraId="478990E4" w14:textId="5287408D" w:rsidR="002C790F" w:rsidRPr="00F43E47" w:rsidRDefault="004E60A7" w:rsidP="00F43E47">
      <w:r>
        <w:lastRenderedPageBreak/>
        <w:t>Child Development Nepal</w:t>
      </w:r>
      <w:r w:rsidR="00F43E47">
        <w:t>’s</w:t>
      </w:r>
      <w:r>
        <w:t xml:space="preserve"> (CDN)</w:t>
      </w:r>
      <w:r w:rsidR="00F43E47">
        <w:t xml:space="preserve"> </w:t>
      </w:r>
      <w:r>
        <w:t xml:space="preserve">two-year School Health Program (2026–2027) in Sarlahi and Mahottari districts </w:t>
      </w:r>
      <w:r w:rsidR="00F43E47">
        <w:t xml:space="preserve">could </w:t>
      </w:r>
      <w:r w:rsidR="00C24E5C">
        <w:t>incorporate the insights of this study</w:t>
      </w:r>
      <w:r w:rsidR="00F43E47">
        <w:t>. Their programs will emphasize reproductive health education, menstrual hygiene management, nutrition improvement, and mental health awareness for sustained education. Interventions that address period cramps could be implemented</w:t>
      </w:r>
      <w:r w:rsidR="00B53459">
        <w:t xml:space="preserve"> within their</w:t>
      </w:r>
      <w:r w:rsidR="00F43E47">
        <w:t xml:space="preserve"> program. </w:t>
      </w:r>
    </w:p>
    <w:p w14:paraId="03884456" w14:textId="77777777" w:rsidR="00D62FCC" w:rsidRDefault="001E0E8E" w:rsidP="00937A0E">
      <w:pPr>
        <w:pStyle w:val="Heading1"/>
        <w:spacing w:line="276" w:lineRule="auto"/>
      </w:pPr>
      <w:r>
        <w:t>7. Policy Implications</w:t>
      </w:r>
    </w:p>
    <w:p w14:paraId="1DB251FD" w14:textId="77777777" w:rsidR="00D62FCC" w:rsidRDefault="00D62FCC" w:rsidP="00937A0E">
      <w:pPr>
        <w:spacing w:line="276" w:lineRule="auto"/>
      </w:pPr>
    </w:p>
    <w:p w14:paraId="5D0019F8" w14:textId="2D04BD4B" w:rsidR="00D62FCC" w:rsidRDefault="00755AA7" w:rsidP="00937A0E">
      <w:pPr>
        <w:spacing w:line="276" w:lineRule="auto"/>
      </w:pPr>
      <w:r>
        <w:t>Providing better sanitary products (in this case, a menstrual cup) has no impact on closing</w:t>
      </w:r>
      <w:r w:rsidR="00A5726E">
        <w:t xml:space="preserve"> the already</w:t>
      </w:r>
      <w:r>
        <w:t xml:space="preserve"> small attendance gap. </w:t>
      </w:r>
      <w:r w:rsidR="00B53459">
        <w:t>If policymakers pursue interventions to improve attendance</w:t>
      </w:r>
      <w:r>
        <w:t>,</w:t>
      </w:r>
      <w:r w:rsidR="00B53459">
        <w:t xml:space="preserve"> they should prioritize technologies that address period cramps, such as access to pain medication.</w:t>
      </w:r>
    </w:p>
    <w:p w14:paraId="67F12EBC" w14:textId="77777777" w:rsidR="00D62FCC" w:rsidRDefault="001E0E8E" w:rsidP="00937A0E">
      <w:pPr>
        <w:pStyle w:val="Heading1"/>
        <w:spacing w:line="276" w:lineRule="auto"/>
      </w:pPr>
      <w:r>
        <w:t>Keywords</w:t>
      </w:r>
    </w:p>
    <w:p w14:paraId="2A9AD4DD" w14:textId="77777777" w:rsidR="00D62FCC" w:rsidRDefault="00C628F5" w:rsidP="00937A0E">
      <w:pPr>
        <w:spacing w:line="276" w:lineRule="auto"/>
      </w:pPr>
      <w:r>
        <w:rPr>
          <w:color w:val="000000"/>
        </w:rPr>
        <w:t xml:space="preserve">Menstruation • School attendance • Randomized controlled trial • Gender and education • Nepal </w:t>
      </w:r>
    </w:p>
    <w:p w14:paraId="10E4F1B6" w14:textId="77777777" w:rsidR="00D62FCC" w:rsidRDefault="001E0E8E" w:rsidP="00937A0E">
      <w:pPr>
        <w:pStyle w:val="Heading1"/>
        <w:spacing w:line="276" w:lineRule="auto"/>
      </w:pPr>
      <w:r>
        <w:t>Further Reading</w:t>
      </w:r>
    </w:p>
    <w:p w14:paraId="3A199B46" w14:textId="77777777" w:rsidR="00B5123C" w:rsidRDefault="001E0E8E" w:rsidP="00937A0E">
      <w:pPr>
        <w:spacing w:line="276" w:lineRule="auto"/>
      </w:pPr>
      <w:r>
        <w:t xml:space="preserve">1. </w:t>
      </w:r>
      <w:r w:rsidR="00177104">
        <w:t xml:space="preserve">Oster, E., &amp; Thornton, R. (2009). </w:t>
      </w:r>
      <w:r w:rsidR="00177104">
        <w:rPr>
          <w:rStyle w:val="Emphasis"/>
        </w:rPr>
        <w:t>Determinants of technology adoption: Private value and peer effects in menstrual cup take-up</w:t>
      </w:r>
      <w:r w:rsidR="00177104">
        <w:t xml:space="preserve">. National Bureau of Economic Research. </w:t>
      </w:r>
      <w:hyperlink r:id="rId8" w:history="1">
        <w:r w:rsidR="00177104">
          <w:rPr>
            <w:rStyle w:val="Hyperlink"/>
          </w:rPr>
          <w:t>http://www.nber.org/papers/w14828</w:t>
        </w:r>
      </w:hyperlink>
    </w:p>
    <w:p w14:paraId="0366A333" w14:textId="77777777" w:rsidR="0058795D" w:rsidRDefault="0058795D" w:rsidP="00937A0E">
      <w:pPr>
        <w:spacing w:line="276" w:lineRule="auto"/>
      </w:pPr>
    </w:p>
    <w:p w14:paraId="138F9C0B" w14:textId="77777777" w:rsidR="0058795D" w:rsidRDefault="001E0E8E" w:rsidP="00937A0E">
      <w:pPr>
        <w:spacing w:line="276" w:lineRule="auto"/>
      </w:pPr>
      <w:r>
        <w:t xml:space="preserve">2. </w:t>
      </w:r>
      <w:r w:rsidR="0058795D">
        <w:t>Amatya P, Ghimire S, Callahan KE, Baral BK, Poudel KC (2018) Practice and lived experience of menstrual exiles (</w:t>
      </w:r>
      <w:r w:rsidR="0058795D">
        <w:rPr>
          <w:rStyle w:val="Emphasis"/>
        </w:rPr>
        <w:t>Chhaupadi</w:t>
      </w:r>
      <w:r w:rsidR="0058795D">
        <w:t xml:space="preserve">) among adolescent girls in far-western Nepal. PLoS ONE 13(12): e0208260. </w:t>
      </w:r>
      <w:hyperlink r:id="rId9" w:history="1">
        <w:r w:rsidR="0058795D" w:rsidRPr="0042214C">
          <w:rPr>
            <w:rStyle w:val="Hyperlink"/>
          </w:rPr>
          <w:t>https://doi.org/10.1371/journal.pone.0208260</w:t>
        </w:r>
      </w:hyperlink>
    </w:p>
    <w:p w14:paraId="07621489" w14:textId="77777777" w:rsidR="00D62FCC" w:rsidRDefault="001E0E8E" w:rsidP="00937A0E">
      <w:pPr>
        <w:spacing w:line="276" w:lineRule="auto"/>
      </w:pPr>
      <w:r>
        <w:t xml:space="preserve"> </w:t>
      </w:r>
    </w:p>
    <w:p w14:paraId="58BA8AA2" w14:textId="77777777" w:rsidR="00D62FCC" w:rsidRDefault="001E0E8E" w:rsidP="00937A0E">
      <w:pPr>
        <w:pStyle w:val="Heading1"/>
        <w:spacing w:line="276" w:lineRule="auto"/>
      </w:pPr>
      <w:r>
        <w:t>Citation</w:t>
      </w:r>
    </w:p>
    <w:p w14:paraId="076551E8" w14:textId="77777777" w:rsidR="00D62FCC" w:rsidRDefault="004C7E21" w:rsidP="00C628F5">
      <w:pPr>
        <w:spacing w:line="276" w:lineRule="auto"/>
      </w:pPr>
      <w:r w:rsidRPr="004C7E21">
        <w:t>Oster, E., &amp; Thornton, R. (2011). Evidence Brief: Menstruation, Sanitary Products, and School Attendance. Nepal Evidence for Policy Project.</w:t>
      </w:r>
    </w:p>
    <w:sectPr w:rsidR="00D62FCC">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9DD50" w14:textId="77777777" w:rsidR="0074505C" w:rsidRDefault="0074505C">
      <w:r>
        <w:separator/>
      </w:r>
    </w:p>
  </w:endnote>
  <w:endnote w:type="continuationSeparator" w:id="0">
    <w:p w14:paraId="650D6D0B" w14:textId="77777777" w:rsidR="0074505C" w:rsidRDefault="00745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CB4CF31-2FE5-402D-9D61-FB794BA32DCB}"/>
  </w:font>
  <w:font w:name="Calibri">
    <w:panose1 w:val="020F0502020204030204"/>
    <w:charset w:val="00"/>
    <w:family w:val="swiss"/>
    <w:pitch w:val="variable"/>
    <w:sig w:usb0="E4002EFF" w:usb1="C200247B" w:usb2="00000009" w:usb3="00000000" w:csb0="000001FF" w:csb1="00000000"/>
    <w:embedRegular r:id="rId2" w:fontKey="{614CAC38-8447-4053-AD39-6C70F6683830}"/>
  </w:font>
  <w:font w:name="Mangal">
    <w:panose1 w:val="00000400000000000000"/>
    <w:charset w:val="00"/>
    <w:family w:val="roman"/>
    <w:pitch w:val="variable"/>
    <w:sig w:usb0="00008003" w:usb1="00000000" w:usb2="00000000" w:usb3="00000000" w:csb0="00000001" w:csb1="00000000"/>
    <w:embedRegular r:id="rId3" w:fontKey="{17C02769-E0CD-42BE-9CA7-18FD210A51B0}"/>
  </w:font>
  <w:font w:name="Cambria">
    <w:panose1 w:val="02040503050406030204"/>
    <w:charset w:val="00"/>
    <w:family w:val="roman"/>
    <w:pitch w:val="variable"/>
    <w:sig w:usb0="E00006FF" w:usb1="420024FF" w:usb2="02000000" w:usb3="00000000" w:csb0="0000019F" w:csb1="00000000"/>
    <w:embedRegular r:id="rId4" w:fontKey="{5987E409-4B86-4524-9AD0-BB752325D8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A2CED" w14:textId="77777777" w:rsidR="00D62FCC" w:rsidRDefault="001E0E8E">
    <w:pPr>
      <w:jc w:val="center"/>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sidR="00C0446D">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C0446D">
      <w:rPr>
        <w:noProof/>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FBE36" w14:textId="77777777" w:rsidR="0074505C" w:rsidRDefault="0074505C">
      <w:r>
        <w:separator/>
      </w:r>
    </w:p>
  </w:footnote>
  <w:footnote w:type="continuationSeparator" w:id="0">
    <w:p w14:paraId="297B26C4" w14:textId="77777777" w:rsidR="0074505C" w:rsidRDefault="00745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2E04B" w14:textId="77777777" w:rsidR="00D62FCC" w:rsidRDefault="001E0E8E">
    <w:pPr>
      <w:jc w:val="right"/>
      <w:rPr>
        <w:i/>
        <w:iCs/>
        <w:color w:val="7F8C8D"/>
        <w:sz w:val="18"/>
        <w:szCs w:val="18"/>
      </w:rPr>
    </w:pPr>
    <w:r>
      <w:rPr>
        <w:i/>
        <w:iCs/>
        <w:color w:val="7F8C8D"/>
        <w:sz w:val="18"/>
        <w:szCs w:val="18"/>
      </w:rPr>
      <w:t xml:space="preserve">Evidence Brief </w:t>
    </w:r>
  </w:p>
  <w:p w14:paraId="2D436DA5" w14:textId="77777777" w:rsidR="00E10209" w:rsidRDefault="00E10209">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9015B"/>
    <w:multiLevelType w:val="hybridMultilevel"/>
    <w:tmpl w:val="7ACC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1A10B4"/>
    <w:multiLevelType w:val="multilevel"/>
    <w:tmpl w:val="11DEAE1A"/>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629B246B"/>
    <w:multiLevelType w:val="hybridMultilevel"/>
    <w:tmpl w:val="9DD46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E732AB"/>
    <w:multiLevelType w:val="hybridMultilevel"/>
    <w:tmpl w:val="1E365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676229"/>
    <w:multiLevelType w:val="hybridMultilevel"/>
    <w:tmpl w:val="4266A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FCC"/>
    <w:rsid w:val="00035355"/>
    <w:rsid w:val="000415EA"/>
    <w:rsid w:val="00061CA9"/>
    <w:rsid w:val="000822A7"/>
    <w:rsid w:val="00085734"/>
    <w:rsid w:val="000A31E7"/>
    <w:rsid w:val="00146CED"/>
    <w:rsid w:val="00177104"/>
    <w:rsid w:val="001E0E8E"/>
    <w:rsid w:val="00256B5D"/>
    <w:rsid w:val="002A1343"/>
    <w:rsid w:val="002C790F"/>
    <w:rsid w:val="003C5C6E"/>
    <w:rsid w:val="004C7E21"/>
    <w:rsid w:val="004E60A7"/>
    <w:rsid w:val="00533864"/>
    <w:rsid w:val="00545334"/>
    <w:rsid w:val="0058795D"/>
    <w:rsid w:val="005A756B"/>
    <w:rsid w:val="006079DE"/>
    <w:rsid w:val="00624B11"/>
    <w:rsid w:val="0066729B"/>
    <w:rsid w:val="0074505C"/>
    <w:rsid w:val="00755AA7"/>
    <w:rsid w:val="00773CFE"/>
    <w:rsid w:val="00852A13"/>
    <w:rsid w:val="00930565"/>
    <w:rsid w:val="00937A0E"/>
    <w:rsid w:val="00A55894"/>
    <w:rsid w:val="00A5726E"/>
    <w:rsid w:val="00A843C0"/>
    <w:rsid w:val="00AB38AB"/>
    <w:rsid w:val="00B5123C"/>
    <w:rsid w:val="00B53459"/>
    <w:rsid w:val="00B56B5E"/>
    <w:rsid w:val="00B90F9F"/>
    <w:rsid w:val="00BD7224"/>
    <w:rsid w:val="00C0446D"/>
    <w:rsid w:val="00C15C35"/>
    <w:rsid w:val="00C24E5C"/>
    <w:rsid w:val="00C3284A"/>
    <w:rsid w:val="00C47717"/>
    <w:rsid w:val="00C628F5"/>
    <w:rsid w:val="00C81D63"/>
    <w:rsid w:val="00C90B0F"/>
    <w:rsid w:val="00C96162"/>
    <w:rsid w:val="00CB19D3"/>
    <w:rsid w:val="00D62FCC"/>
    <w:rsid w:val="00E00900"/>
    <w:rsid w:val="00E10209"/>
    <w:rsid w:val="00E542DC"/>
    <w:rsid w:val="00EB76CF"/>
    <w:rsid w:val="00EC17D3"/>
    <w:rsid w:val="00ED484B"/>
    <w:rsid w:val="00ED7A78"/>
    <w:rsid w:val="00EF0A39"/>
    <w:rsid w:val="00F43E47"/>
    <w:rsid w:val="00F63A24"/>
    <w:rsid w:val="00F90CF6"/>
    <w:rsid w:val="00FB3CDC"/>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5D5E1"/>
  <w15:docId w15:val="{BD4A0CE3-FCA8-4C80-93A5-3131AEF61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ne-NP"/>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120"/>
      <w:outlineLvl w:val="0"/>
    </w:pPr>
    <w:rPr>
      <w:b/>
      <w:bCs/>
      <w:color w:val="1B4F72"/>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40" w:after="80"/>
      <w:outlineLvl w:val="1"/>
    </w:pPr>
    <w:rPr>
      <w:b/>
      <w:bCs/>
      <w:color w:val="2E86AB"/>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after="240"/>
      <w:jc w:val="center"/>
    </w:pPr>
    <w:rPr>
      <w:b/>
      <w:bCs/>
      <w:color w:val="1B4F72"/>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146CED"/>
    <w:pPr>
      <w:ind w:left="720"/>
      <w:contextualSpacing/>
    </w:pPr>
    <w:rPr>
      <w:szCs w:val="20"/>
    </w:rPr>
  </w:style>
  <w:style w:type="character" w:customStyle="1" w:styleId="ng-star-inserted">
    <w:name w:val="ng-star-inserted"/>
    <w:basedOn w:val="DefaultParagraphFont"/>
    <w:rsid w:val="003C5C6E"/>
  </w:style>
  <w:style w:type="character" w:styleId="Hyperlink">
    <w:name w:val="Hyperlink"/>
    <w:basedOn w:val="DefaultParagraphFont"/>
    <w:uiPriority w:val="99"/>
    <w:unhideWhenUsed/>
    <w:rsid w:val="00F90CF6"/>
    <w:rPr>
      <w:color w:val="0000FF" w:themeColor="hyperlink"/>
      <w:u w:val="single"/>
    </w:rPr>
  </w:style>
  <w:style w:type="character" w:styleId="UnresolvedMention">
    <w:name w:val="Unresolved Mention"/>
    <w:basedOn w:val="DefaultParagraphFont"/>
    <w:uiPriority w:val="99"/>
    <w:semiHidden/>
    <w:unhideWhenUsed/>
    <w:rsid w:val="00F90CF6"/>
    <w:rPr>
      <w:color w:val="605E5C"/>
      <w:shd w:val="clear" w:color="auto" w:fill="E1DFDD"/>
    </w:rPr>
  </w:style>
  <w:style w:type="character" w:styleId="Emphasis">
    <w:name w:val="Emphasis"/>
    <w:basedOn w:val="DefaultParagraphFont"/>
    <w:uiPriority w:val="20"/>
    <w:qFormat/>
    <w:rsid w:val="00177104"/>
    <w:rPr>
      <w:i/>
      <w:iCs/>
    </w:rPr>
  </w:style>
  <w:style w:type="paragraph" w:styleId="Header">
    <w:name w:val="header"/>
    <w:basedOn w:val="Normal"/>
    <w:link w:val="HeaderChar"/>
    <w:uiPriority w:val="99"/>
    <w:unhideWhenUsed/>
    <w:rsid w:val="00E10209"/>
    <w:pPr>
      <w:tabs>
        <w:tab w:val="center" w:pos="4680"/>
        <w:tab w:val="right" w:pos="9360"/>
      </w:tabs>
    </w:pPr>
    <w:rPr>
      <w:szCs w:val="20"/>
    </w:rPr>
  </w:style>
  <w:style w:type="character" w:customStyle="1" w:styleId="HeaderChar">
    <w:name w:val="Header Char"/>
    <w:basedOn w:val="DefaultParagraphFont"/>
    <w:link w:val="Header"/>
    <w:uiPriority w:val="99"/>
    <w:rsid w:val="00E10209"/>
    <w:rPr>
      <w:szCs w:val="20"/>
    </w:rPr>
  </w:style>
  <w:style w:type="paragraph" w:styleId="Footer">
    <w:name w:val="footer"/>
    <w:basedOn w:val="Normal"/>
    <w:link w:val="FooterChar"/>
    <w:uiPriority w:val="99"/>
    <w:unhideWhenUsed/>
    <w:rsid w:val="00E10209"/>
    <w:pPr>
      <w:tabs>
        <w:tab w:val="center" w:pos="4680"/>
        <w:tab w:val="right" w:pos="9360"/>
      </w:tabs>
    </w:pPr>
    <w:rPr>
      <w:szCs w:val="20"/>
    </w:rPr>
  </w:style>
  <w:style w:type="character" w:customStyle="1" w:styleId="FooterChar">
    <w:name w:val="Footer Char"/>
    <w:basedOn w:val="DefaultParagraphFont"/>
    <w:link w:val="Footer"/>
    <w:uiPriority w:val="99"/>
    <w:rsid w:val="00E10209"/>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2002044">
      <w:bodyDiv w:val="1"/>
      <w:marLeft w:val="0"/>
      <w:marRight w:val="0"/>
      <w:marTop w:val="0"/>
      <w:marBottom w:val="0"/>
      <w:divBdr>
        <w:top w:val="none" w:sz="0" w:space="0" w:color="auto"/>
        <w:left w:val="none" w:sz="0" w:space="0" w:color="auto"/>
        <w:bottom w:val="none" w:sz="0" w:space="0" w:color="auto"/>
        <w:right w:val="none" w:sz="0" w:space="0" w:color="auto"/>
      </w:divBdr>
      <w:divsChild>
        <w:div w:id="1435008192">
          <w:marLeft w:val="0"/>
          <w:marRight w:val="0"/>
          <w:marTop w:val="0"/>
          <w:marBottom w:val="0"/>
          <w:divBdr>
            <w:top w:val="none" w:sz="0" w:space="0" w:color="auto"/>
            <w:left w:val="none" w:sz="0" w:space="0" w:color="auto"/>
            <w:bottom w:val="none" w:sz="0" w:space="0" w:color="auto"/>
            <w:right w:val="none" w:sz="0" w:space="0" w:color="auto"/>
          </w:divBdr>
        </w:div>
        <w:div w:id="184516459">
          <w:marLeft w:val="0"/>
          <w:marRight w:val="0"/>
          <w:marTop w:val="0"/>
          <w:marBottom w:val="0"/>
          <w:divBdr>
            <w:top w:val="none" w:sz="0" w:space="0" w:color="auto"/>
            <w:left w:val="none" w:sz="0" w:space="0" w:color="auto"/>
            <w:bottom w:val="none" w:sz="0" w:space="0" w:color="auto"/>
            <w:right w:val="none" w:sz="0" w:space="0" w:color="auto"/>
          </w:divBdr>
        </w:div>
        <w:div w:id="1683319370">
          <w:marLeft w:val="0"/>
          <w:marRight w:val="0"/>
          <w:marTop w:val="0"/>
          <w:marBottom w:val="0"/>
          <w:divBdr>
            <w:top w:val="none" w:sz="0" w:space="0" w:color="auto"/>
            <w:left w:val="none" w:sz="0" w:space="0" w:color="auto"/>
            <w:bottom w:val="none" w:sz="0" w:space="0" w:color="auto"/>
            <w:right w:val="none" w:sz="0" w:space="0" w:color="auto"/>
          </w:divBdr>
        </w:div>
        <w:div w:id="815996301">
          <w:marLeft w:val="0"/>
          <w:marRight w:val="0"/>
          <w:marTop w:val="0"/>
          <w:marBottom w:val="0"/>
          <w:divBdr>
            <w:top w:val="none" w:sz="0" w:space="0" w:color="auto"/>
            <w:left w:val="none" w:sz="0" w:space="0" w:color="auto"/>
            <w:bottom w:val="none" w:sz="0" w:space="0" w:color="auto"/>
            <w:right w:val="none" w:sz="0" w:space="0" w:color="auto"/>
          </w:divBdr>
        </w:div>
      </w:divsChild>
    </w:div>
    <w:div w:id="1136920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er.org/papers/w1482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overtyactionlab.org/sites/default/files/research-paper/99%20Menstruation%2C%20Sanitary%20Products%2C%20School%20Attendance.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371/journal.pone.02082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5</Pages>
  <Words>1590</Words>
  <Characters>9065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19</cp:revision>
  <cp:lastPrinted>2026-01-03T11:54:00Z</cp:lastPrinted>
  <dcterms:created xsi:type="dcterms:W3CDTF">2025-12-29T15:12:00Z</dcterms:created>
  <dcterms:modified xsi:type="dcterms:W3CDTF">2026-01-03T15:38:00Z</dcterms:modified>
</cp:coreProperties>
</file>